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26.png" ContentType="image/png"/>
  <Override PartName="/word/media/rId52.png" ContentType="image/png"/>
  <Override PartName="/word/media/rId43.png" ContentType="image/png"/>
  <Override PartName="/word/media/rId33.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42"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30" w:name="the-growth-symmetry-analysis"/>
    <w:p>
      <w:pPr>
        <w:pStyle w:val="Heading2"/>
      </w:pPr>
      <w:r>
        <w:t xml:space="preserve">The growth symmetry analysis</w:t>
      </w:r>
    </w:p>
    <w:p>
      <w:pPr>
        <w:pStyle w:val="FirstParagraph"/>
      </w:pPr>
      <w:r>
        <w:t xml:space="preserve">xxxx Add proper text here Sylwia!!!</w:t>
      </w:r>
    </w:p>
    <w:p>
      <w:pPr>
        <w:pStyle w:val="BodyText"/>
      </w:pPr>
      <w:r>
        <w:t xml:space="preserve">Using the 5-minute time interval, the absolute growth increment (AGI) was computed, defined as the OD680 change between the consecutive measurements d(OD680)/dt. Values above 0 represent OD680 increase and growth of the picocyanobacteria cultures. Increase of the AGI curve reflects acceleration of the growth, and decrease the deceleration phase, consequently (Fig. 1).</w:t>
      </w:r>
    </w:p>
    <w:p>
      <w:pPr>
        <w:pStyle w:val="BodyText"/>
      </w:pPr>
      <w:r>
        <w:t xml:space="preserve">Based on the AGI were determined the acceleration phase length (AccLen), defined as the time (expressed in h) between the start of the photoperiod and the time of the tMaxDGI. This relationship was defined as diel growth symmetry (GS; Eq. (1)).</w:t>
      </w:r>
      <w:r>
        <w:t xml:space="preserve"> </w:t>
      </w:r>
      <w:r>
        <w:t xml:space="preserve">GS(h)=AccLen/(Photoperiod length)  (1)</w:t>
      </w:r>
      <w:r>
        <w:t xml:space="preserve"> </w:t>
      </w:r>
      <w:r>
        <w:t xml:space="preserve">The maximum value within each photoperiod was called the maximum daily growth increment (maxDGI), and the highest of all of them, was recorded for each experiment setup and referred to as the maximum absolute growth increment (maxAGI). The maxAGI marked the point of the sigmoid curve fitted to the growth curve, indicating the transition point leading to the pre-stationary phase. Additionally, the total daily growth (TDG), defined as the difference in OD680 at the end and at the beginning of each photoperiod was estimated.</w:t>
      </w:r>
    </w:p>
    <w:p>
      <w:pPr>
        <w:pStyle w:val="CaptionedFigure"/>
      </w:pPr>
      <w:r>
        <w:drawing>
          <wp:inline>
            <wp:extent cx="5943600" cy="3820885"/>
            <wp:effectExtent b="0" l="0" r="0" t="0"/>
            <wp:docPr descr="Figure 1: A) Example of a growth curve (tracked as OD680; red solid line) of a Synechococcus sp. strain vs. elapsed time (h). The vertical dotted lines indicate the time to reach the diel maximum of the 1st derivative of growth (vertical dotted line; tMaxDG). The vertical blue solid line represents the time when the cultures reached their maximum absolute hourly growth (tMaxAHG), taken as an index of transition from exponential to pre-stationary growth phases. B) The 1st derivative (taken over 1 h increments) for growth vs. elapsed time. Within a diel period the acceleration length (AccLen) is the time between the start of the photoperiod and the time to reach the diel maximum of the 1st derivative of growth (vertical dotted line; tMaxDG). Decleration length is then the time from tMaxDG to the end of the photoperiod. We then define the diel growth symmetry (GS) as AccLen/DecLen."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w:t>
      </w:r>
      <w:r>
        <w:t xml:space="preserve"> </w:t>
      </w:r>
      <w:r>
        <w:rPr>
          <w:bCs/>
          <w:b/>
        </w:rPr>
        <w:t xml:space="preserve">A) Example of a growth curve (tracked as OD680; red solid line) of a</w:t>
      </w:r>
      <w:r>
        <w:rPr>
          <w:bCs/>
          <w:b/>
        </w:rPr>
        <w:t xml:space="preserve"> </w:t>
      </w:r>
      <w:r>
        <w:rPr>
          <w:iCs/>
          <w:i/>
          <w:bCs/>
          <w:b/>
        </w:rPr>
        <w:t xml:space="preserve">Synechococcus</w:t>
      </w:r>
      <w:r>
        <w:rPr>
          <w:bCs/>
          <w:b/>
        </w:rPr>
        <w:t xml:space="preserve"> </w:t>
      </w:r>
      <w:r>
        <w:rPr>
          <w:bCs/>
          <w:b/>
        </w:rPr>
        <w:t xml:space="preserve">sp. strain vs. elapsed time (h)</w:t>
      </w:r>
      <w:r>
        <w:t xml:space="preserve">. The vertical dotted lines indicate the time to reach the diel maximum of the 1st derivative of growth (vertical dotted line; tMaxDG). The vertical blue solid line represents the time when the cultures reached their maximum absolute hourly growth (tMaxAHG), taken as an index of transition from exponential to pre-stationary growth phases.</w:t>
      </w:r>
      <w:r>
        <w:t xml:space="preserve"> </w:t>
      </w:r>
      <w:r>
        <w:rPr>
          <w:bCs/>
          <w:b/>
        </w:rPr>
        <w:t xml:space="preserve">B) The 1st derivative (taken over 1 h increments) for growth vs. elapsed time.</w:t>
      </w:r>
      <w:r>
        <w:t xml:space="preserve"> </w:t>
      </w:r>
      <w:r>
        <w:t xml:space="preserve">Within a diel period the acceleration length (AccLen) is the time between the start of the photoperiod and the time to reach the diel maximum of the 1st derivative of growth (vertical dotted line; tMaxDG). Decleration length is then the time from tMaxDG to the end of the photoperiod. We then define the diel growth symmetry (GS) as AccLen/DecLen.</w:t>
      </w:r>
    </w:p>
    <w:bookmarkEnd w:id="30"/>
    <w:bookmarkStart w:id="31"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Linear regression, coefficient of determination, Pearson correlation coefficients, and p-value was presented in Tab. S1 (Supplementary materials).</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led; Chl a, chlorophyll a; PC, phycocyanin; PEB-rich PE, phycoerythin-rich phycoerythrin; PUB-rich PE, phycourobilin-rich phycoerythr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7"/>
    <w:bookmarkStart w:id="38"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 p-value was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8"/>
    <w:bookmarkStart w:id="39"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9"/>
    <w:bookmarkStart w:id="40"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40"/>
    <w:bookmarkStart w:id="41"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w:t>
      </w:r>
    </w:p>
    <w:p>
      <w:pPr>
        <w:pStyle w:val="BodyText"/>
      </w:pPr>
      <w:r>
        <w:t xml:space="preserve">Linear regression, coefficient of determination (R square), Pearson correlation coefficients (R), and p-value was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index of diel growth symmetry, PUR/PAR ratio, total Phyco/Chl</w:t>
      </w:r>
      <w:r>
        <w:t xml:space="preserve"> </w:t>
      </w:r>
      <w:r>
        <w:rPr>
          <w:iCs/>
          <w:i/>
        </w:rPr>
        <w:t xml:space="preserve">a</w:t>
      </w:r>
      <w:r>
        <w:t xml:space="preserve"> </w:t>
      </w:r>
      <w:r>
        <w:t xml:space="preserve">ratio, and effective absorption cross section of PSII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or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w:t>
      </w:r>
    </w:p>
    <w:p>
      <w:pPr>
        <w:pStyle w:val="BodyText"/>
      </w:pPr>
      <w:r>
        <w:t xml:space="preserve">To examine statistical differences between models, we performed one-way ANOVA of a three parameter model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w:t>
      </w:r>
    </w:p>
    <w:p>
      <w:pPr>
        <w:pStyle w:val="BodyText"/>
      </w:pPr>
      <w:r>
        <w:t xml:space="preserve">One-way ANOVA was also used to examine statistical differences between single phase exponential decay fit model of pooled data across different strains for a given phase of growth and across different phase of growth for a given strain from index of diel growth symmetry; (AccLen/DecLen ratio), PUR/PAR ratio, total Phyco/Chl</w:t>
      </w:r>
      <w:r>
        <w:t xml:space="preserve"> </w:t>
      </w:r>
      <w:r>
        <w:rPr>
          <w:iCs/>
          <w:i/>
        </w:rPr>
        <w:t xml:space="preserve">a</w:t>
      </w:r>
      <w:r>
        <w:t xml:space="preserve"> </w:t>
      </w:r>
      <w:r>
        <w:t xml:space="preserve">ratio, and effective absorption cross section of PSII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T-test of linear fit model of pooled data across different strains for a given phase of growth and across different phase of growth for a given strain from effective absorption cross section of PSII (</w:t>
      </w:r>
      <w:r>
        <w:t xml:space="preserve">3C3</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w:r>
        <w:t xml:space="preserve">3C3</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was performed.</w:t>
      </w:r>
    </w:p>
    <w:p>
      <w:pPr>
        <w:pStyle w:val="BodyText"/>
      </w:pPr>
      <w:r>
        <w:t xml:space="preserve">The</w:t>
      </w:r>
      <w:r>
        <w:t xml:space="preserve"> </w:t>
      </w:r>
      <w:r>
        <w:rPr>
          <w:iCs/>
          <w:i/>
        </w:rPr>
        <w:t xml:space="preserve">SSasymp()</w:t>
      </w:r>
      <w:r>
        <w:t xml:space="preserve"> </w:t>
      </w:r>
      <w:r>
        <w:t xml:space="preserve">function (Self-Starting Nls Asymptotic Regression Model) was used to perform a single phase exponential decay fit model.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-OD</w:t>
      </w:r>
      <w:r>
        <w:rPr>
          <w:vertAlign w:val="subscript"/>
        </w:rPr>
        <w:t xml:space="preserve">720</w:t>
      </w:r>
      <w:r>
        <w:t xml:space="preserve"> </w:t>
      </w:r>
      <w:r>
        <w:t xml:space="preserve">vs. elapsed time for each combination of strain, photoperiod, and peak PAR.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Statistical differences for all analyzes were determined at the level of significance</w:t>
      </w:r>
      <w:r>
        <w:t xml:space="preserve"> </w:t>
      </w:r>
      <w:r>
        <w:t xml:space="preserve">3B1 = 0.05.</w:t>
      </w:r>
    </w:p>
    <w:p>
      <w:pPr>
        <w:pStyle w:val="BodyText"/>
      </w:pPr>
      <w:r>
        <w:t xml:space="preserve">Manuscript was prepared as Rmarkdown document</w:t>
      </w:r>
      <w:r>
        <w:t xml:space="preserve"> </w:t>
      </w:r>
      <w:r>
        <w:t xml:space="preserve">[29]</w:t>
      </w:r>
      <w:r>
        <w:t xml:space="preserve">. Figures were plotted using</w:t>
      </w:r>
      <w:r>
        <w:t xml:space="preserve"> </w:t>
      </w:r>
      <w:r>
        <w:t xml:space="preserve">“</w:t>
      </w:r>
      <w:r>
        <w:t xml:space="preserve">ggplot</w:t>
      </w:r>
      <w:r>
        <w:t xml:space="preserve">”</w:t>
      </w:r>
      <w:r>
        <w:t xml:space="preserve"> </w:t>
      </w:r>
      <w:r>
        <w:t xml:space="preserve">[30]</w:t>
      </w:r>
      <w:r>
        <w:t xml:space="preserve"> </w:t>
      </w:r>
      <w:r>
        <w:t xml:space="preserve">R package.</w:t>
      </w:r>
    </w:p>
    <w:bookmarkEnd w:id="41"/>
    <w:bookmarkEnd w:id="42"/>
    <w:bookmarkStart w:id="71" w:name="results"/>
    <w:p>
      <w:pPr>
        <w:pStyle w:val="Heading1"/>
      </w:pPr>
      <w:r>
        <w:t xml:space="preserve">Results</w:t>
      </w:r>
    </w:p>
    <w:bookmarkStart w:id="47" w:name="X3c4de26526443418ca9ef70653fbb6a4bace88d"/>
    <w:p>
      <w:pPr>
        <w:pStyle w:val="Heading2"/>
      </w:pPr>
      <w:r>
        <w:t xml:space="preserve">Changes in chlorophyll specific exponential growth rate</w:t>
      </w:r>
    </w:p>
    <w:p>
      <w:pPr>
        <w:pStyle w:val="FirstParagraph"/>
      </w:pPr>
      <w:r>
        <w:t xml:space="preserve">Research Question:</w:t>
      </w:r>
      <w:r>
        <w:t xml:space="preserve"> </w:t>
      </w:r>
      <w:r>
        <w:t xml:space="preserve">Does cumulative diel photon dose consistently explain achieved growth rates across a matrix of photoperiods and peak PAR?</w:t>
      </w:r>
    </w:p>
    <w:p>
      <w:pPr>
        <w:pStyle w:val="BodyText"/>
      </w:pPr>
      <w:r>
        <w:t xml:space="preserve">Test: Do strains show distinct growth responses to cumulative diel photon dose, depending upon photoperiod?</w:t>
      </w:r>
      <w:r>
        <w:t xml:space="preserve"> </w:t>
      </w:r>
      <w:r>
        <w:t xml:space="preserve">Yes. Every strain shows photoperiod-specific responses to cumulative diel photon dose that differ from a single light response model fit to the pooled data from a strain.</w:t>
      </w:r>
    </w:p>
    <w:p>
      <w:pPr>
        <w:pStyle w:val="BodyText"/>
      </w:pPr>
      <w:r>
        <w:t xml:space="preserve">Test: Do strains show distinct growth responses to cumulative diel photon dose, depending upon peak PAR?</w:t>
      </w:r>
      <w:r>
        <w:t xml:space="preserve"> </w:t>
      </w:r>
      <w:r>
        <w:t xml:space="preserve">Yes. In supplmental data, strains generally show peak-PAR specific responses to cumulative diel photon dose, that differ from a single light response model fit to the pooled data from a strain. Exceptions are that for strains 77 and 48 peak PAR of 600 or 900 µmol photons m</w:t>
      </w:r>
      <w:r>
        <w:rPr>
          <w:vertAlign w:val="superscript"/>
        </w:rPr>
        <w:t xml:space="preserve">−2</w:t>
      </w:r>
      <w:r>
        <w:t xml:space="preserve">d</w:t>
      </w:r>
      <w:r>
        <w:rPr>
          <w:vertAlign w:val="superscript"/>
        </w:rPr>
        <w:t xml:space="preserve">−1</w:t>
      </w:r>
      <w:r>
        <w:t xml:space="preserve"> </w:t>
      </w:r>
      <w:r>
        <w:t xml:space="preserve">are not significantly different from the pooled data model. A caveat to this findings is that cumulative diel photon dose is, of course, a product of photoperiod and PAR, so the highest levels of cumulative photon dose are only achieved under the 600 or 900 µmol photons m</w:t>
      </w:r>
      <w:r>
        <w:rPr>
          <w:vertAlign w:val="superscript"/>
        </w:rPr>
        <w:t xml:space="preserve">−2</w:t>
      </w:r>
      <w:r>
        <w:t xml:space="preserve">d</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(Supplemental).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4" name="Picture"/>
            <a:graphic>
              <a:graphicData uri="http://schemas.openxmlformats.org/drawingml/2006/picture">
                <pic:pic>
                  <pic:nvPicPr>
                    <pic:cNvPr descr="../Output/Figures/Fig_GrowthRate_Photoperiod.png" id="45" name="Picture"/>
                    <pic:cNvPicPr>
                      <a:picLocks noChangeArrowheads="1" noChangeAspect="1"/>
                    </pic:cNvPicPr>
                  </pic:nvPicPr>
                  <pic:blipFill>
                    <a:blip r:embed="rId4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6" w:name="fig:GrowthRatePhotoperiod"/>
      <w:bookmarkEnd w:id="46"/>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7"/>
    <w:bookmarkStart w:id="56" w:name="changes-of-diel-growth-symmetry"/>
    <w:p>
      <w:pPr>
        <w:pStyle w:val="Heading2"/>
      </w:pPr>
      <w:r>
        <w:t xml:space="preserve">Changes of diel growth symmetry</w:t>
      </w:r>
    </w:p>
    <w:p>
      <w:pPr>
        <w:pStyle w:val="FirstParagraph"/>
      </w:pPr>
      <w:r>
        <w:t xml:space="preserve">Supplemental figures show consistent variations in short term growth rates over diel cycles. We sought to analyze the intra-diel patterns of growth, initially by separating growth over the photoperiod into an acclerating phase of increasing hourly growth increments, and a deceleration phase, of decreasing hourly growth increments.</w:t>
      </w:r>
    </w:p>
    <w:p>
      <w:pPr>
        <w:pStyle w:val="BodyText"/>
      </w:pPr>
      <w:r>
        <w:t xml:space="preserve">Research Question:</w:t>
      </w:r>
      <w:r>
        <w:t xml:space="preserve"> </w:t>
      </w:r>
      <w:r>
        <w:t xml:space="preserve">Do strains show consistent patterns of diel growth across cumulative diel photon doses?</w:t>
      </w:r>
    </w:p>
    <w:p>
      <w:pPr>
        <w:pStyle w:val="BodyText"/>
      </w:pPr>
      <w:r>
        <w:t xml:space="preserve">No.</w:t>
      </w:r>
      <w:r>
        <w:t xml:space="preserve"> </w:t>
      </w:r>
      <w:r>
        <w:t xml:space="preserve">The length of the diel acceleration phase of growth increases with increasing photoperiod, but the slope of accleration phase vs. cumulative diel photon dose decreases with increasing peak PAR.</w:t>
      </w:r>
    </w:p>
    <w:p>
      <w:pPr>
        <w:pStyle w:val="BodyText"/>
      </w:pPr>
      <w:r>
        <w:t xml:space="preserve">During pre-stationary phase these responses dampen but persist.</w:t>
      </w:r>
    </w:p>
    <w:p>
      <w:pPr>
        <w:pStyle w:val="CaptionedFigure"/>
      </w:pPr>
      <w:r>
        <w:drawing>
          <wp:inline>
            <wp:extent cx="5943600" cy="7641771"/>
            <wp:effectExtent b="0" l="0" r="0" t="0"/>
            <wp:docPr descr="Figure 4: Hours of photoperiod to reach maximum hourly growth vs. cumulative diel photon dose (µmol photons m−2d−1).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 n = 1-5." title="" id="49" name="Picture"/>
            <a:graphic>
              <a:graphicData uri="http://schemas.openxmlformats.org/drawingml/2006/picture">
                <pic:pic>
                  <pic:nvPicPr>
                    <pic:cNvPr descr="../Output/Figures/Fig_AccLen.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AccLen"/>
      <w:bookmarkEnd w:id="51"/>
      <w:r>
        <w:t xml:space="preserve">Figure 4:</w:t>
      </w:r>
      <w:r>
        <w:t xml:space="preserve"> </w:t>
      </w:r>
      <w:r>
        <w:rPr>
          <w:bCs/>
          <w:b/>
        </w:rPr>
        <w:t xml:space="preserve">Hours of photoperiod to reach maximum hourly growth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w:t>
      </w:r>
      <w:r>
        <w:t xml:space="preserve"> </w:t>
      </w:r>
      <w:r>
        <w:rPr>
          <w:iCs/>
          <w:i/>
        </w:rPr>
        <w:t xml:space="preserve">n</w:t>
      </w:r>
      <w:r>
        <w:t xml:space="preserve"> </w:t>
      </w:r>
      <w:r>
        <w:t xml:space="preserve">= 1-5.</w:t>
      </w:r>
    </w:p>
    <w:p>
      <w:pPr>
        <w:pStyle w:val="BodyText"/>
      </w:pPr>
      <w:r>
        <w:t xml:space="preserve">Research Question:</w:t>
      </w:r>
      <w:r>
        <w:t xml:space="preserve"> </w:t>
      </w:r>
      <w:r>
        <w:t xml:space="preserve">Do strains show consistent patterns of diel symmetry (AccLen/DecLen) across cumulative diel photon doses?</w:t>
      </w:r>
    </w:p>
    <w:p>
      <w:pPr>
        <w:pStyle w:val="BodyText"/>
      </w:pPr>
      <w:r>
        <w:t xml:space="preserve">Yes.</w:t>
      </w:r>
      <w:r>
        <w:t xml:space="preserve"> </w:t>
      </w:r>
      <w:r>
        <w:t xml:space="preserve">The ratio of the diel acceleration phase of growth to the deceleration phase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p>
    <w:p>
      <w:pPr>
        <w:pStyle w:val="CaptionedFigure"/>
      </w:pPr>
      <w:r>
        <w:drawing>
          <wp:inline>
            <wp:extent cx="5943600" cy="7641771"/>
            <wp:effectExtent b="0" l="0" r="0" t="0"/>
            <wp:docPr descr="Figure 5: Index of diel growth symmetry (AccLen/DecLen ratio) vs. cumulative diel photon dose (µmol photons m−2d−1). Diel growth symmetry was estimated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Figure presents data (small symbols) and means (big symbols) from exponential phase of growth, or from pre-stationary phase of growth, n = 1-5.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3" name="Picture"/>
            <a:graphic>
              <a:graphicData uri="http://schemas.openxmlformats.org/drawingml/2006/picture">
                <pic:pic>
                  <pic:nvPicPr>
                    <pic:cNvPr descr="../Output/Figures/Fig_GS.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S"/>
      <w:bookmarkEnd w:id="55"/>
      <w:r>
        <w:t xml:space="preserve">Figure 5:</w:t>
      </w:r>
      <w:r>
        <w:t xml:space="preserve"> </w:t>
      </w:r>
      <w:r>
        <w:rPr>
          <w:bCs/>
          <w:b/>
        </w:rPr>
        <w:t xml:space="preserve">Index of diel growth symmetry (AccLen/DecLen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Diel growth symmetry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Figure presents data (small symbols) and means (big symbols) from exponential phase of growth, or from pre-stationary phase of growth,</w:t>
      </w:r>
      <w:r>
        <w:t xml:space="preserve"> </w:t>
      </w:r>
      <w:r>
        <w:rPr>
          <w:iCs/>
          <w:i/>
        </w:rPr>
        <w:t xml:space="preserve">n</w:t>
      </w:r>
      <w:r>
        <w:t xml:space="preserve"> </w:t>
      </w:r>
      <w:r>
        <w:t xml:space="preserve">= 1-5.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6"/>
    <w:bookmarkStart w:id="61" w:name="changes-of-purpar-ratio"/>
    <w:p>
      <w:pPr>
        <w:pStyle w:val="Heading2"/>
      </w:pPr>
      <w:r>
        <w:t xml:space="preserve">Changes of PUR/PAR ratio</w:t>
      </w:r>
    </w:p>
    <w:p>
      <w:pPr>
        <w:pStyle w:val="FirstParagraph"/>
      </w:pPr>
      <w:r>
        <w:t xml:space="preserve">Research Question:</w:t>
      </w:r>
      <w:r>
        <w:t xml:space="preserve"> </w:t>
      </w:r>
      <w:r>
        <w:t xml:space="preserve">Do strains show consistent patterns of light capture efficacy (PUR/PAR ratio) across cumulative diel photon doses?</w:t>
      </w:r>
    </w:p>
    <w:p>
      <w:pPr>
        <w:pStyle w:val="BodyTex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p>
      <w:pPr>
        <w:pStyle w:val="CaptionedFigure"/>
      </w:pPr>
      <w:r>
        <w:drawing>
          <wp:inline>
            <wp:extent cx="5943600" cy="7641771"/>
            <wp:effectExtent b="0" l="0" r="0" t="0"/>
            <wp:docPr descr="Figure 6: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07be7ca315362af814ea6c377136ba89340184d"/>
    <w:p>
      <w:pPr>
        <w:pStyle w:val="Heading2"/>
      </w:pPr>
      <w:r>
        <w:t xml:space="preserve">Changes effective absorption cross section of PSII</w:t>
      </w:r>
    </w:p>
    <w:p>
      <w:pPr>
        <w:pStyle w:val="FirstParagraph"/>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8: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70"/>
    <w:bookmarkEnd w:id="71"/>
    <w:bookmarkStart w:id="76" w:name="discussion"/>
    <w:p>
      <w:pPr>
        <w:pStyle w:val="Heading1"/>
      </w:pPr>
      <w:r>
        <w:t xml:space="preserve">Discussion</w:t>
      </w:r>
    </w:p>
    <w:bookmarkStart w:id="72"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[2,31,32]</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2"/>
    <w:bookmarkStart w:id="73"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[18,33,34]</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[35–37]</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[38–40]</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35,36,37,41]</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3"/>
    <w:bookmarkStart w:id="7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[4,42,43]</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[23,43]</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4"/>
    <w:bookmarkStart w:id="7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[44–46]</w:t>
      </w:r>
      <w:r>
        <w:t xml:space="preserve">.</w:t>
      </w:r>
    </w:p>
    <w:bookmarkEnd w:id="75"/>
    <w:bookmarkEnd w:id="76"/>
    <w:bookmarkStart w:id="7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7"/>
    <w:bookmarkStart w:id="163" w:name="references"/>
    <w:p>
      <w:pPr>
        <w:pStyle w:val="Heading1"/>
      </w:pPr>
      <w:r>
        <w:t xml:space="preserve">References</w:t>
      </w:r>
    </w:p>
    <w:bookmarkStart w:id="162" w:name="refs"/>
    <w:bookmarkStart w:id="7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8">
        <w:r>
          <w:rPr>
            <w:rStyle w:val="Hyperlink"/>
          </w:rPr>
          <w:t xml:space="preserve">10.1146/annurev-marine-010213-135103</w:t>
        </w:r>
      </w:hyperlink>
    </w:p>
    <w:bookmarkEnd w:id="79"/>
    <w:bookmarkStart w:id="8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0">
        <w:r>
          <w:rPr>
            <w:rStyle w:val="Hyperlink"/>
          </w:rPr>
          <w:t xml:space="preserve">10.1086/338511</w:t>
        </w:r>
      </w:hyperlink>
    </w:p>
    <w:bookmarkEnd w:id="81"/>
    <w:bookmarkStart w:id="8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82">
        <w:r>
          <w:rPr>
            <w:rStyle w:val="Hyperlink"/>
          </w:rPr>
          <w:t xml:space="preserve">10.1038/s41559-020-01330-x</w:t>
        </w:r>
      </w:hyperlink>
    </w:p>
    <w:bookmarkEnd w:id="83"/>
    <w:bookmarkStart w:id="8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4">
        <w:r>
          <w:rPr>
            <w:rStyle w:val="Hyperlink"/>
          </w:rPr>
          <w:t xml:space="preserve">10.1038/nature05317</w:t>
        </w:r>
      </w:hyperlink>
    </w:p>
    <w:bookmarkEnd w:id="85"/>
    <w:bookmarkStart w:id="8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6">
        <w:r>
          <w:rPr>
            <w:rStyle w:val="Hyperlink"/>
          </w:rPr>
          <w:t xml:space="preserve">10.1038/nclimate3147</w:t>
        </w:r>
      </w:hyperlink>
    </w:p>
    <w:bookmarkEnd w:id="87"/>
    <w:bookmarkStart w:id="8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8">
        <w:r>
          <w:rPr>
            <w:rStyle w:val="Hyperlink"/>
          </w:rPr>
          <w:t xml:space="preserve">10.1093/plankt/fbv008</w:t>
        </w:r>
      </w:hyperlink>
    </w:p>
    <w:bookmarkEnd w:id="89"/>
    <w:bookmarkStart w:id="9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0">
        <w:r>
          <w:rPr>
            <w:rStyle w:val="Hyperlink"/>
          </w:rPr>
          <w:t xml:space="preserve">10.4319/lo.1999.44.1.0052</w:t>
        </w:r>
      </w:hyperlink>
    </w:p>
    <w:bookmarkEnd w:id="91"/>
    <w:bookmarkStart w:id="92"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92"/>
    <w:bookmarkStart w:id="94"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93">
        <w:r>
          <w:rPr>
            <w:rStyle w:val="Hyperlink"/>
          </w:rPr>
          <w:t xml:space="preserve">10.1073/pnas.1307701110</w:t>
        </w:r>
      </w:hyperlink>
    </w:p>
    <w:bookmarkEnd w:id="94"/>
    <w:bookmarkStart w:id="96"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5">
        <w:r>
          <w:rPr>
            <w:rStyle w:val="Hyperlink"/>
          </w:rPr>
          <w:t xml:space="preserve">https://www.jstor.org/stable/24852252</w:t>
        </w:r>
      </w:hyperlink>
    </w:p>
    <w:bookmarkEnd w:id="96"/>
    <w:bookmarkStart w:id="97"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7"/>
    <w:bookmarkStart w:id="99"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8">
        <w:r>
          <w:rPr>
            <w:rStyle w:val="Hyperlink"/>
          </w:rPr>
          <w:t xml:space="preserve">10.1016/j.rse.2020.111704</w:t>
        </w:r>
      </w:hyperlink>
    </w:p>
    <w:bookmarkEnd w:id="99"/>
    <w:bookmarkStart w:id="101"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00">
        <w:r>
          <w:rPr>
            <w:rStyle w:val="Hyperlink"/>
          </w:rPr>
          <w:t xml:space="preserve">10.1029/1999JC000308</w:t>
        </w:r>
      </w:hyperlink>
    </w:p>
    <w:bookmarkEnd w:id="101"/>
    <w:bookmarkStart w:id="103"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02">
        <w:r>
          <w:rPr>
            <w:rStyle w:val="Hyperlink"/>
          </w:rPr>
          <w:t xml:space="preserve">10.1017/S0025315406014287</w:t>
        </w:r>
      </w:hyperlink>
    </w:p>
    <w:bookmarkEnd w:id="103"/>
    <w:bookmarkStart w:id="105"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4">
        <w:r>
          <w:rPr>
            <w:rStyle w:val="Hyperlink"/>
          </w:rPr>
          <w:t xml:space="preserve">10.5194/bg-8-311-2011</w:t>
        </w:r>
      </w:hyperlink>
    </w:p>
    <w:bookmarkEnd w:id="105"/>
    <w:bookmarkStart w:id="107"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6">
        <w:r>
          <w:rPr>
            <w:rStyle w:val="Hyperlink"/>
          </w:rPr>
          <w:t xml:space="preserve">10.1073/pnas.2111300118</w:t>
        </w:r>
      </w:hyperlink>
    </w:p>
    <w:bookmarkEnd w:id="107"/>
    <w:bookmarkStart w:id="109"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8">
        <w:r>
          <w:rPr>
            <w:rStyle w:val="Hyperlink"/>
          </w:rPr>
          <w:t xml:space="preserve">10.1038/ismej.2008.118</w:t>
        </w:r>
      </w:hyperlink>
    </w:p>
    <w:bookmarkEnd w:id="109"/>
    <w:bookmarkStart w:id="111"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10">
        <w:r>
          <w:rPr>
            <w:rStyle w:val="Hyperlink"/>
          </w:rPr>
          <w:t xml:space="preserve">10.1111/1462-2920.16384</w:t>
        </w:r>
      </w:hyperlink>
    </w:p>
    <w:bookmarkEnd w:id="111"/>
    <w:bookmarkStart w:id="113"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12">
        <w:r>
          <w:rPr>
            <w:rStyle w:val="Hyperlink"/>
          </w:rPr>
          <w:t xml:space="preserve">10.1371/journal.pone.0001341</w:t>
        </w:r>
      </w:hyperlink>
    </w:p>
    <w:bookmarkEnd w:id="113"/>
    <w:bookmarkStart w:id="115"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4">
        <w:r>
          <w:rPr>
            <w:rStyle w:val="Hyperlink"/>
          </w:rPr>
          <w:t xml:space="preserve">10.1007/978-1-4615-8714-9_3</w:t>
        </w:r>
      </w:hyperlink>
    </w:p>
    <w:bookmarkEnd w:id="115"/>
    <w:bookmarkStart w:id="116"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6"/>
    <w:bookmarkStart w:id="118"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7">
        <w:r>
          <w:rPr>
            <w:rStyle w:val="Hyperlink"/>
          </w:rPr>
          <w:t xml:space="preserve">10.1016/j.jphotobiol.2005.10.002</w:t>
        </w:r>
      </w:hyperlink>
    </w:p>
    <w:bookmarkEnd w:id="118"/>
    <w:bookmarkStart w:id="120"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9">
        <w:r>
          <w:rPr>
            <w:rStyle w:val="Hyperlink"/>
          </w:rPr>
          <w:t xml:space="preserve">10.1016/0146-6291(78)90623-9</w:t>
        </w:r>
      </w:hyperlink>
    </w:p>
    <w:bookmarkEnd w:id="120"/>
    <w:bookmarkStart w:id="122"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21">
        <w:r>
          <w:rPr>
            <w:rStyle w:val="Hyperlink"/>
          </w:rPr>
          <w:t xml:space="preserve">DOI: http://dx.doi.org/10.25607/OBP-1791</w:t>
        </w:r>
      </w:hyperlink>
    </w:p>
    <w:bookmarkEnd w:id="122"/>
    <w:bookmarkStart w:id="124"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23">
        <w:r>
          <w:rPr>
            <w:rStyle w:val="Hyperlink"/>
          </w:rPr>
          <w:t xml:space="preserve">10.1083/jcb.58.2.419</w:t>
        </w:r>
      </w:hyperlink>
    </w:p>
    <w:bookmarkEnd w:id="124"/>
    <w:bookmarkStart w:id="125"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5"/>
    <w:bookmarkStart w:id="126"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6"/>
    <w:bookmarkStart w:id="128"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7">
        <w:r>
          <w:rPr>
            <w:rStyle w:val="Hyperlink"/>
          </w:rPr>
          <w:t xml:space="preserve">10.1002/bimj.19750170808</w:t>
        </w:r>
      </w:hyperlink>
    </w:p>
    <w:bookmarkEnd w:id="128"/>
    <w:bookmarkStart w:id="129" w:name="ref-handelAndreasHandelCustom2020"/>
    <w:p>
      <w:pPr>
        <w:pStyle w:val="Bibliography"/>
      </w:pPr>
      <w:r>
        <w:t xml:space="preserve">29.</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30.</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31.</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32.</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33.</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34.</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35.</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36.</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37.</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38.</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39.</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40.</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41.</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42.</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43.</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44.</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45.</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46.</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26" Target="media/rId26.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1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7" Target="https://doi.org/10.1002/bimj.19750170808" TargetMode="External" /><Relationship Type="http://schemas.openxmlformats.org/officeDocument/2006/relationships/hyperlink" Id="rId114"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9" Target="https://doi.org/10.1016/0146-6291(78)90623-9" TargetMode="External" /><Relationship Type="http://schemas.openxmlformats.org/officeDocument/2006/relationships/hyperlink" Id="rId117" Target="https://doi.org/10.1016/j.jphotobiol.2005.10.002" TargetMode="External" /><Relationship Type="http://schemas.openxmlformats.org/officeDocument/2006/relationships/hyperlink" Id="rId98" Target="https://doi.org/10.1016/j.rse.2020.111704" TargetMode="External" /><Relationship Type="http://schemas.openxmlformats.org/officeDocument/2006/relationships/hyperlink" Id="rId102" Target="https://doi.org/10.1017/S0025315406014287" TargetMode="External" /><Relationship Type="http://schemas.openxmlformats.org/officeDocument/2006/relationships/hyperlink" Id="rId100"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8"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3" Target="https://doi.org/10.1073/pnas.1307701110" TargetMode="External" /><Relationship Type="http://schemas.openxmlformats.org/officeDocument/2006/relationships/hyperlink" Id="rId106" Target="https://doi.org/10.1073/pnas.2111300118" TargetMode="External" /><Relationship Type="http://schemas.openxmlformats.org/officeDocument/2006/relationships/hyperlink" Id="rId123"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10"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12"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4" Target="https://doi.org/10.5194/bg-8-311-2011" TargetMode="External" /><Relationship Type="http://schemas.openxmlformats.org/officeDocument/2006/relationships/hyperlink" Id="rId95"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7" Target="https://doi.org/10.1002/bimj.19750170808" TargetMode="External" /><Relationship Type="http://schemas.openxmlformats.org/officeDocument/2006/relationships/hyperlink" Id="rId114"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9" Target="https://doi.org/10.1016/0146-6291(78)90623-9" TargetMode="External" /><Relationship Type="http://schemas.openxmlformats.org/officeDocument/2006/relationships/hyperlink" Id="rId117" Target="https://doi.org/10.1016/j.jphotobiol.2005.10.002" TargetMode="External" /><Relationship Type="http://schemas.openxmlformats.org/officeDocument/2006/relationships/hyperlink" Id="rId98" Target="https://doi.org/10.1016/j.rse.2020.111704" TargetMode="External" /><Relationship Type="http://schemas.openxmlformats.org/officeDocument/2006/relationships/hyperlink" Id="rId102" Target="https://doi.org/10.1017/S0025315406014287" TargetMode="External" /><Relationship Type="http://schemas.openxmlformats.org/officeDocument/2006/relationships/hyperlink" Id="rId100"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8"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3" Target="https://doi.org/10.1073/pnas.1307701110" TargetMode="External" /><Relationship Type="http://schemas.openxmlformats.org/officeDocument/2006/relationships/hyperlink" Id="rId106" Target="https://doi.org/10.1073/pnas.2111300118" TargetMode="External" /><Relationship Type="http://schemas.openxmlformats.org/officeDocument/2006/relationships/hyperlink" Id="rId123"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10"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12"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4" Target="https://doi.org/10.5194/bg-8-311-2011" TargetMode="External" /><Relationship Type="http://schemas.openxmlformats.org/officeDocument/2006/relationships/hyperlink" Id="rId95"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2024-02-27T12:09:10Z</dcterms:created>
  <dcterms:modified xsi:type="dcterms:W3CDTF">2024-02-27T12:09:10Z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